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Deltageravgifter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medlemmer, påmelding før 15. mars kr. 6.800,-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medlemmer etter 15. mars, kr. 7.600,-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ikke-medl. før 15. mars, kr.8.100,-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ikke-medl. etter 15. mars, kr. 8.900,-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Konferanseavgiften inkluderer pauseservering, luncher, middager med drikke til maten, likeså båtturen og besøket på Oslofjord-museet.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Dagsdeltagelse.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Dette er i hovedsak beregnet for de med lokal tilknytning og som kun kan delta i et begrenset tidsrom. Dagsprisene inkluderer også all servering den aktuelle dagen.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Dagsdeltagelse for medlemmer kr. 2.500,-.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Dagsdeltagelse for ikke-medlemmer kr. 2.900,-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Utstillingsarealer.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Utstillingsarealene er meget sentrale i forhold til foredragene og vrimlearealene.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Priser for utstillingsareale  kr. 8.500,- Etter 15. mars  øker disse utstillingsprisene med kr. 2.000,-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Hotellrom.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Hotelloppholdet bestilles direkte til hotellet og betales av den enkelte deltager.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Hotellrom med frokost  kr. 1.095,- pr. døgn.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Hotellet og konferanselokaler er Radisson Blu Park Hotell på Fornebu.</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Tlf. 6782 3000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Kontaktperson er Petra Fyhr, tlf.67 82 37 11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Mail: petra.fyhr@radissonblu.com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Påmelding.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Påmelding skjer via FSTL`s hjemmeside,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www.fstl.org</w:t>
        </w:r>
      </w:hyperlink>
      <w:r>
        <w:rPr>
          <w:rFonts w:ascii="Times New Roman" w:hAnsi="Times New Roman" w:cs="Times New Roman" w:eastAsia="Times New Roman"/>
          <w:color w:val="auto"/>
          <w:spacing w:val="0"/>
          <w:position w:val="0"/>
          <w:sz w:val="24"/>
          <w:shd w:fill="auto" w:val="clear"/>
        </w:rPr>
        <w:t xml:space="preserve"> og påmeldingsfrist er 10 april 2015 og vi gjør oppmerksom på at det er «early bird» priser for påmeldinger før 15. mars. Du vil motta bekreftelse på din påmelding umiddelbart etter at den er mottatt. Faktura blir sendt ut i separat post fortløpende etter påmelding.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Avbestilling innen 1 april mot 20 %  deltageravgift. Ved avbestilling etter denne dato belastes full avgift.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fstl.org/" Id="docRId0" Type="http://schemas.openxmlformats.org/officeDocument/2006/relationships/hyperlink"/><Relationship Target="numbering.xml" Id="docRId1" Type="http://schemas.openxmlformats.org/officeDocument/2006/relationships/numbering"/><Relationship Target="styles.xml" Id="docRId2" Type="http://schemas.openxmlformats.org/officeDocument/2006/relationships/styles"/></Relationships>
</file>